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CE" w:rsidRPr="001E47EE" w:rsidRDefault="00BD253F" w:rsidP="007819B5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38"/>
          <w:szCs w:val="38"/>
        </w:rPr>
      </w:pPr>
      <w:r w:rsidRPr="001E47EE">
        <w:rPr>
          <w:rFonts w:ascii="Palatino Linotype" w:hAnsi="Palatino Linotype"/>
          <w:b/>
          <w:noProof/>
          <w:color w:val="FF0000"/>
          <w:sz w:val="38"/>
          <w:szCs w:val="3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-411480</wp:posOffset>
            </wp:positionV>
            <wp:extent cx="1695450" cy="2074545"/>
            <wp:effectExtent l="190500" t="152400" r="171450" b="135255"/>
            <wp:wrapSquare wrapText="bothSides"/>
            <wp:docPr id="1" name="Рисунок 1" descr="C:\Documents and Settings\Администратор\Рабочий стол\реком списки\Gauf-V.-fot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ком списки\Gauf-V.-foto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E47EE">
        <w:rPr>
          <w:rFonts w:ascii="Palatino Linotype" w:hAnsi="Palatino Linotype"/>
          <w:b/>
          <w:color w:val="FF0000"/>
          <w:sz w:val="38"/>
          <w:szCs w:val="38"/>
        </w:rPr>
        <w:t>Сказочный мир Вильгельма Гауфа</w:t>
      </w:r>
    </w:p>
    <w:p w:rsidR="007819B5" w:rsidRPr="007819B5" w:rsidRDefault="007819B5" w:rsidP="007819B5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:rsidR="00BD253F" w:rsidRPr="007819B5" w:rsidRDefault="00BD253F" w:rsidP="007819B5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Рекомендательный список литературы</w:t>
      </w:r>
    </w:p>
    <w:p w:rsidR="007819B5" w:rsidRDefault="007819B5" w:rsidP="007819B5">
      <w:pPr>
        <w:spacing w:after="0" w:line="240" w:lineRule="auto"/>
        <w:rPr>
          <w:rFonts w:ascii="Palatino Linotype" w:hAnsi="Palatino Linotype"/>
          <w:b/>
        </w:rPr>
      </w:pPr>
    </w:p>
    <w:p w:rsidR="007819B5" w:rsidRDefault="007819B5" w:rsidP="007819B5">
      <w:pPr>
        <w:spacing w:after="0" w:line="240" w:lineRule="auto"/>
        <w:rPr>
          <w:rFonts w:ascii="Palatino Linotype" w:hAnsi="Palatino Linotype"/>
          <w:b/>
        </w:rPr>
      </w:pPr>
    </w:p>
    <w:p w:rsidR="007819B5" w:rsidRDefault="007819B5" w:rsidP="007819B5">
      <w:pPr>
        <w:spacing w:after="0" w:line="240" w:lineRule="auto"/>
        <w:rPr>
          <w:rFonts w:ascii="Palatino Linotype" w:hAnsi="Palatino Linotype"/>
          <w:b/>
        </w:rPr>
      </w:pPr>
    </w:p>
    <w:p w:rsidR="00BD253F" w:rsidRPr="007819B5" w:rsidRDefault="007819B5" w:rsidP="007819B5">
      <w:pPr>
        <w:spacing w:after="0" w:line="240" w:lineRule="auto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</w:t>
      </w:r>
      <w:r w:rsidR="00BD253F" w:rsidRPr="007819B5">
        <w:rPr>
          <w:rFonts w:ascii="Palatino Linotype" w:hAnsi="Palatino Linotype"/>
          <w:b/>
          <w:sz w:val="36"/>
          <w:szCs w:val="36"/>
        </w:rPr>
        <w:t>1802 – 1827</w:t>
      </w:r>
    </w:p>
    <w:p w:rsidR="00BD253F" w:rsidRPr="007819B5" w:rsidRDefault="00BD253F" w:rsidP="007819B5">
      <w:pPr>
        <w:spacing w:after="0" w:line="240" w:lineRule="auto"/>
        <w:rPr>
          <w:rFonts w:ascii="Palatino Linotype" w:hAnsi="Palatino Linotype"/>
          <w:b/>
        </w:rPr>
      </w:pPr>
    </w:p>
    <w:p w:rsidR="00BD253F" w:rsidRPr="007819B5" w:rsidRDefault="00BD253F" w:rsidP="007819B5">
      <w:pPr>
        <w:spacing w:after="0" w:line="240" w:lineRule="auto"/>
        <w:rPr>
          <w:rFonts w:ascii="Palatino Linotype" w:hAnsi="Palatino Linotype"/>
          <w:b/>
        </w:rPr>
      </w:pPr>
    </w:p>
    <w:p w:rsidR="00BD253F" w:rsidRPr="007819B5" w:rsidRDefault="00BD253F" w:rsidP="007819B5">
      <w:pPr>
        <w:spacing w:after="0" w:line="240" w:lineRule="auto"/>
        <w:rPr>
          <w:rFonts w:ascii="Palatino Linotype" w:hAnsi="Palatino Linotype"/>
          <w:b/>
        </w:rPr>
      </w:pPr>
    </w:p>
    <w:p w:rsidR="00EB3673" w:rsidRPr="007819B5" w:rsidRDefault="00EB3673" w:rsidP="007819B5">
      <w:pPr>
        <w:spacing w:after="0" w:line="240" w:lineRule="auto"/>
        <w:rPr>
          <w:rFonts w:ascii="Palatino Linotype" w:hAnsi="Palatino Linotype"/>
          <w:b/>
        </w:rPr>
      </w:pPr>
    </w:p>
    <w:p w:rsidR="00EB3673" w:rsidRPr="007819B5" w:rsidRDefault="00EB3673" w:rsidP="007819B5">
      <w:pPr>
        <w:spacing w:after="0" w:line="240" w:lineRule="auto"/>
        <w:rPr>
          <w:rFonts w:ascii="Palatino Linotype" w:hAnsi="Palatino Linotype"/>
          <w:b/>
        </w:rPr>
      </w:pPr>
    </w:p>
    <w:p w:rsidR="00EB3673" w:rsidRPr="007819B5" w:rsidRDefault="00EB3673" w:rsidP="007819B5">
      <w:pPr>
        <w:spacing w:after="0" w:line="240" w:lineRule="auto"/>
        <w:rPr>
          <w:rFonts w:ascii="Palatino Linotype" w:hAnsi="Palatino Linotype"/>
          <w:b/>
        </w:rPr>
      </w:pPr>
    </w:p>
    <w:p w:rsidR="00EB3673" w:rsidRPr="007819B5" w:rsidRDefault="00EB3673" w:rsidP="007819B5">
      <w:pPr>
        <w:spacing w:after="0" w:line="240" w:lineRule="auto"/>
        <w:rPr>
          <w:rFonts w:ascii="Palatino Linotype" w:hAnsi="Palatino Linotype"/>
          <w:b/>
        </w:rPr>
      </w:pPr>
    </w:p>
    <w:p w:rsidR="007819B5" w:rsidRPr="007819B5" w:rsidRDefault="007819B5" w:rsidP="007819B5">
      <w:pPr>
        <w:spacing w:after="0" w:line="240" w:lineRule="auto"/>
        <w:rPr>
          <w:rFonts w:ascii="Palatino Linotype" w:hAnsi="Palatino Linotype"/>
          <w:b/>
        </w:rPr>
      </w:pPr>
    </w:p>
    <w:p w:rsidR="00EB3673" w:rsidRPr="007819B5" w:rsidRDefault="00DD7528" w:rsidP="001E47EE">
      <w:pPr>
        <w:spacing w:after="0" w:line="240" w:lineRule="auto"/>
        <w:ind w:firstLine="708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И сказки и новеллы Вильгельма Гауфа независимо от особенностей обоих жанров, существуют в некотором волшебном пространстве, которое само по себе не требует ни географических, ни топографических признаков. Это атмосфера чуда. Это обыкновенность необыкновенного…</w:t>
      </w:r>
    </w:p>
    <w:p w:rsidR="00EB3673" w:rsidRPr="007819B5" w:rsidRDefault="00DD7528" w:rsidP="00DE54C8">
      <w:pPr>
        <w:spacing w:after="0" w:line="240" w:lineRule="auto"/>
        <w:rPr>
          <w:rFonts w:ascii="Palatino Linotype" w:hAnsi="Palatino Linotype"/>
          <w:b/>
        </w:rPr>
      </w:pPr>
      <w:r w:rsidRPr="007819B5">
        <w:rPr>
          <w:rFonts w:ascii="Palatino Linotype" w:hAnsi="Palatino Linotype"/>
          <w:b/>
          <w:sz w:val="28"/>
          <w:szCs w:val="28"/>
        </w:rPr>
        <w:tab/>
        <w:t>Они таинственные, загадочные, необычные и увлекательные. В них есть очарование дальних стран, нестандартный сюжет, непривычные сказочные герои. Сказки Гауфа притягивают и погружают в абсолютно иной мир, это так удивительно.</w:t>
      </w:r>
    </w:p>
    <w:p w:rsidR="00BD253F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32"/>
          <w:szCs w:val="32"/>
          <w:u w:val="single"/>
        </w:rPr>
      </w:pPr>
      <w:r w:rsidRPr="007819B5">
        <w:rPr>
          <w:rFonts w:ascii="Palatino Linotype" w:hAnsi="Palatino Linotype"/>
          <w:b/>
          <w:sz w:val="32"/>
          <w:szCs w:val="32"/>
          <w:u w:val="single"/>
        </w:rPr>
        <w:lastRenderedPageBreak/>
        <w:t>Сказки: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«Караван»</w:t>
      </w:r>
      <w:r w:rsidR="007819B5">
        <w:rPr>
          <w:rFonts w:ascii="Palatino Linotype" w:hAnsi="Palatino Linotype"/>
          <w:b/>
          <w:sz w:val="28"/>
          <w:szCs w:val="28"/>
        </w:rPr>
        <w:t xml:space="preserve">, </w:t>
      </w:r>
      <w:r w:rsidR="007819B5" w:rsidRPr="007819B5">
        <w:rPr>
          <w:rFonts w:ascii="Palatino Linotype" w:hAnsi="Palatino Linotype"/>
          <w:b/>
          <w:sz w:val="28"/>
          <w:szCs w:val="28"/>
        </w:rPr>
        <w:t>«Спасение Фатимы»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«История о Калифе-аисте»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«История о корабле-призраке»</w:t>
      </w:r>
    </w:p>
    <w:p w:rsidR="00DE54C8" w:rsidRPr="007819B5" w:rsidRDefault="007819B5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 xml:space="preserve"> </w:t>
      </w:r>
      <w:r w:rsidR="00DE54C8" w:rsidRPr="007819B5">
        <w:rPr>
          <w:rFonts w:ascii="Palatino Linotype" w:hAnsi="Palatino Linotype"/>
          <w:b/>
          <w:sz w:val="28"/>
          <w:szCs w:val="28"/>
        </w:rPr>
        <w:t>«История о маленьком Муке»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«История о мнимом принце»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«Александрийский шейх и его невольники»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«Карлик Нос»</w:t>
      </w:r>
      <w:r w:rsidR="007819B5">
        <w:rPr>
          <w:rFonts w:ascii="Palatino Linotype" w:hAnsi="Palatino Linotype"/>
          <w:b/>
          <w:sz w:val="28"/>
          <w:szCs w:val="28"/>
        </w:rPr>
        <w:t xml:space="preserve">, </w:t>
      </w:r>
      <w:r w:rsidRPr="007819B5">
        <w:rPr>
          <w:rFonts w:ascii="Palatino Linotype" w:hAnsi="Palatino Linotype"/>
          <w:b/>
          <w:sz w:val="28"/>
          <w:szCs w:val="28"/>
        </w:rPr>
        <w:t>«Бедный Стефан»</w:t>
      </w:r>
    </w:p>
    <w:p w:rsidR="00DE54C8" w:rsidRPr="007819B5" w:rsidRDefault="007819B5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 xml:space="preserve"> </w:t>
      </w:r>
      <w:r w:rsidR="00DE54C8" w:rsidRPr="007819B5">
        <w:rPr>
          <w:rFonts w:ascii="Palatino Linotype" w:hAnsi="Palatino Linotype"/>
          <w:b/>
          <w:sz w:val="28"/>
          <w:szCs w:val="28"/>
        </w:rPr>
        <w:t>«Молодой англичанин»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«Праздник подземелья»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«Беляночка и Розочка»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«История Альмансора»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«Трактир в Шпессарте»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«Рассказ о гульдене с оленем»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«Холодное сердце»</w:t>
      </w:r>
      <w:r w:rsidR="007819B5">
        <w:rPr>
          <w:rFonts w:ascii="Palatino Linotype" w:hAnsi="Palatino Linotype"/>
          <w:b/>
          <w:sz w:val="28"/>
          <w:szCs w:val="28"/>
        </w:rPr>
        <w:t xml:space="preserve">, </w:t>
      </w:r>
      <w:r w:rsidRPr="007819B5">
        <w:rPr>
          <w:rFonts w:ascii="Palatino Linotype" w:hAnsi="Palatino Linotype"/>
          <w:b/>
          <w:sz w:val="28"/>
          <w:szCs w:val="28"/>
        </w:rPr>
        <w:t>«Судьба Саида»</w:t>
      </w:r>
    </w:p>
    <w:p w:rsidR="00DE54C8" w:rsidRPr="007819B5" w:rsidRDefault="00DE54C8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«Пещера Стинфолла. Шотландская сага»</w:t>
      </w:r>
    </w:p>
    <w:p w:rsidR="00DE54C8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32"/>
          <w:szCs w:val="32"/>
          <w:u w:val="single"/>
        </w:rPr>
      </w:pPr>
      <w:r w:rsidRPr="007819B5">
        <w:rPr>
          <w:rFonts w:ascii="Palatino Linotype" w:hAnsi="Palatino Linotype"/>
          <w:b/>
          <w:sz w:val="32"/>
          <w:szCs w:val="32"/>
          <w:u w:val="single"/>
        </w:rPr>
        <w:t>Рассказы: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«Отелло»</w:t>
      </w:r>
      <w:r w:rsidR="007819B5">
        <w:rPr>
          <w:rFonts w:ascii="Palatino Linotype" w:hAnsi="Palatino Linotype"/>
          <w:b/>
          <w:sz w:val="28"/>
          <w:szCs w:val="28"/>
        </w:rPr>
        <w:t xml:space="preserve">, </w:t>
      </w:r>
      <w:r w:rsidRPr="007819B5">
        <w:rPr>
          <w:rFonts w:ascii="Palatino Linotype" w:hAnsi="Palatino Linotype"/>
          <w:b/>
          <w:sz w:val="28"/>
          <w:szCs w:val="28"/>
        </w:rPr>
        <w:t>«Певица»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«Последний Мариенбургский рыцарь»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«Портрет императора»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«Книги и мир чтения»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«Бесплатные часы у окна»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«Эстетический клуб»</w:t>
      </w:r>
      <w:r w:rsidR="007819B5">
        <w:rPr>
          <w:rFonts w:ascii="Palatino Linotype" w:hAnsi="Palatino Linotype"/>
          <w:b/>
          <w:sz w:val="28"/>
          <w:szCs w:val="28"/>
        </w:rPr>
        <w:t xml:space="preserve">, </w:t>
      </w:r>
      <w:r w:rsidRPr="007819B5">
        <w:rPr>
          <w:rFonts w:ascii="Palatino Linotype" w:hAnsi="Palatino Linotype"/>
          <w:b/>
          <w:sz w:val="28"/>
          <w:szCs w:val="28"/>
        </w:rPr>
        <w:t>«Пара часов пути»</w:t>
      </w:r>
    </w:p>
    <w:p w:rsidR="00EB3673" w:rsidRPr="007819B5" w:rsidRDefault="00EB3673" w:rsidP="007819B5">
      <w:pPr>
        <w:spacing w:after="0" w:line="240" w:lineRule="auto"/>
        <w:jc w:val="right"/>
        <w:rPr>
          <w:rFonts w:ascii="Palatino Linotype" w:hAnsi="Palatino Linotype"/>
          <w:b/>
          <w:sz w:val="32"/>
          <w:szCs w:val="32"/>
          <w:u w:val="single"/>
        </w:rPr>
      </w:pPr>
      <w:r w:rsidRPr="007819B5">
        <w:rPr>
          <w:rFonts w:ascii="Palatino Linotype" w:hAnsi="Palatino Linotype"/>
          <w:b/>
          <w:sz w:val="32"/>
          <w:szCs w:val="32"/>
          <w:u w:val="single"/>
        </w:rPr>
        <w:t>Легенда:</w:t>
      </w:r>
    </w:p>
    <w:p w:rsidR="00EB3673" w:rsidRPr="007819B5" w:rsidRDefault="00EB3673" w:rsidP="007819B5">
      <w:pPr>
        <w:spacing w:after="0" w:line="240" w:lineRule="auto"/>
        <w:jc w:val="right"/>
        <w:rPr>
          <w:sz w:val="28"/>
          <w:szCs w:val="28"/>
        </w:rPr>
      </w:pPr>
      <w:r w:rsidRPr="007819B5">
        <w:rPr>
          <w:rFonts w:ascii="Palatino Linotype" w:hAnsi="Palatino Linotype"/>
          <w:b/>
          <w:sz w:val="28"/>
          <w:szCs w:val="28"/>
        </w:rPr>
        <w:t>«Ройсенштейн»</w:t>
      </w:r>
    </w:p>
    <w:p w:rsidR="00DE54C8" w:rsidRDefault="00DE54C8" w:rsidP="00DE54C8">
      <w:pPr>
        <w:spacing w:after="0"/>
      </w:pPr>
    </w:p>
    <w:sectPr w:rsidR="00DE54C8" w:rsidSect="00BD2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35" w:rsidRDefault="00EB6635" w:rsidP="00BD253F">
      <w:pPr>
        <w:spacing w:after="0" w:line="240" w:lineRule="auto"/>
      </w:pPr>
      <w:r>
        <w:separator/>
      </w:r>
    </w:p>
  </w:endnote>
  <w:endnote w:type="continuationSeparator" w:id="1">
    <w:p w:rsidR="00EB6635" w:rsidRDefault="00EB6635" w:rsidP="00B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F" w:rsidRDefault="00BD25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F" w:rsidRDefault="00BD25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F" w:rsidRDefault="00BD25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35" w:rsidRDefault="00EB6635" w:rsidP="00BD253F">
      <w:pPr>
        <w:spacing w:after="0" w:line="240" w:lineRule="auto"/>
      </w:pPr>
      <w:r>
        <w:separator/>
      </w:r>
    </w:p>
  </w:footnote>
  <w:footnote w:type="continuationSeparator" w:id="1">
    <w:p w:rsidR="00EB6635" w:rsidRDefault="00EB6635" w:rsidP="00B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F" w:rsidRDefault="001E47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641" o:spid="_x0000_s2068" type="#_x0000_t75" style="position:absolute;margin-left:0;margin-top:0;width:371.7pt;height:566.4pt;z-index:-251657216;mso-position-horizontal:center;mso-position-horizontal-relative:margin;mso-position-vertical:center;mso-position-vertical-relative:margin" o:allowincell="f">
          <v:imagedata r:id="rId1" o:title="720fa5c044892155aec65103ef9f6ab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F" w:rsidRDefault="001E47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642" o:spid="_x0000_s2069" type="#_x0000_t75" style="position:absolute;margin-left:0;margin-top:0;width:371.7pt;height:566.4pt;z-index:-251656192;mso-position-horizontal:center;mso-position-horizontal-relative:margin;mso-position-vertical:center;mso-position-vertical-relative:margin" o:allowincell="f">
          <v:imagedata r:id="rId1" o:title="720fa5c044892155aec65103ef9f6ab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53F" w:rsidRDefault="001E47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640" o:spid="_x0000_s2067" type="#_x0000_t75" style="position:absolute;margin-left:0;margin-top:0;width:371.7pt;height:566.4pt;z-index:-251658240;mso-position-horizontal:center;mso-position-horizontal-relative:margin;mso-position-vertical:center;mso-position-vertical-relative:margin" o:allowincell="f">
          <v:imagedata r:id="rId1" o:title="720fa5c044892155aec65103ef9f6ab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253F"/>
    <w:rsid w:val="001E47EE"/>
    <w:rsid w:val="002C0E9F"/>
    <w:rsid w:val="003E307D"/>
    <w:rsid w:val="006B51CE"/>
    <w:rsid w:val="007819B5"/>
    <w:rsid w:val="0091323A"/>
    <w:rsid w:val="00BD253F"/>
    <w:rsid w:val="00DD7528"/>
    <w:rsid w:val="00DE54C8"/>
    <w:rsid w:val="00E92E65"/>
    <w:rsid w:val="00EB3673"/>
    <w:rsid w:val="00EB6635"/>
    <w:rsid w:val="00F4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3F"/>
  </w:style>
  <w:style w:type="paragraph" w:styleId="a5">
    <w:name w:val="footer"/>
    <w:basedOn w:val="a"/>
    <w:link w:val="a6"/>
    <w:uiPriority w:val="99"/>
    <w:semiHidden/>
    <w:unhideWhenUsed/>
    <w:rsid w:val="00BD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3F"/>
  </w:style>
  <w:style w:type="paragraph" w:styleId="a7">
    <w:name w:val="Balloon Text"/>
    <w:basedOn w:val="a"/>
    <w:link w:val="a8"/>
    <w:uiPriority w:val="99"/>
    <w:semiHidden/>
    <w:unhideWhenUsed/>
    <w:rsid w:val="00B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2022-11-11T09:02:00Z</dcterms:created>
  <dcterms:modified xsi:type="dcterms:W3CDTF">2022-11-11T09:58:00Z</dcterms:modified>
</cp:coreProperties>
</file>